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04E55" w14:textId="77777777" w:rsidR="00E27CC0" w:rsidRPr="00E27CC0" w:rsidRDefault="001B1784" w:rsidP="000A7BF4">
      <w:pPr>
        <w:jc w:val="both"/>
        <w:rPr>
          <w:b/>
          <w:bCs/>
        </w:rPr>
      </w:pPr>
      <w:r w:rsidRPr="001B1784">
        <w:rPr>
          <w:b/>
          <w:bCs/>
          <w:noProof/>
        </w:rPr>
        <mc:AlternateContent>
          <mc:Choice Requires="wps">
            <w:drawing>
              <wp:anchor distT="45720" distB="45720" distL="114300" distR="114300" simplePos="0" relativeHeight="251659264" behindDoc="0" locked="0" layoutInCell="1" allowOverlap="1" wp14:anchorId="67BC3BD3" wp14:editId="3B4FFBB9">
                <wp:simplePos x="0" y="0"/>
                <wp:positionH relativeFrom="column">
                  <wp:posOffset>2500630</wp:posOffset>
                </wp:positionH>
                <wp:positionV relativeFrom="paragraph">
                  <wp:posOffset>395605</wp:posOffset>
                </wp:positionV>
                <wp:extent cx="3571875" cy="8763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876300"/>
                        </a:xfrm>
                        <a:prstGeom prst="rect">
                          <a:avLst/>
                        </a:prstGeom>
                        <a:solidFill>
                          <a:srgbClr val="FFFFFF"/>
                        </a:solidFill>
                        <a:ln w="9525">
                          <a:solidFill>
                            <a:srgbClr val="000000"/>
                          </a:solidFill>
                          <a:miter lim="800000"/>
                          <a:headEnd/>
                          <a:tailEnd/>
                        </a:ln>
                      </wps:spPr>
                      <wps:txbx>
                        <w:txbxContent>
                          <w:p w14:paraId="0327AAB4" w14:textId="77777777" w:rsidR="001B1784" w:rsidRDefault="001B1784" w:rsidP="001B1784">
                            <w:pPr>
                              <w:jc w:val="center"/>
                            </w:pPr>
                            <w:r w:rsidRPr="001B1784">
                              <w:rPr>
                                <w:b/>
                                <w:bCs/>
                                <w:sz w:val="28"/>
                                <w:szCs w:val="28"/>
                              </w:rPr>
                              <w:t>Petit mémento sur le Règlement Général sur la Protection des Données (RGPD) à l’usage des CPTS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96.9pt;margin-top:31.15pt;width:281.25pt;height: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">
                <v:textbox>
                  <w:txbxContent>
                    <w:p w:rsidR="001B1784" w:rsidRDefault="001B1784" w:rsidP="001B1784">
                      <w:pPr>
                        <w:jc w:val="center"/>
                      </w:pPr>
                      <w:r w:rsidRPr="001B1784">
                        <w:rPr>
                          <w:b/>
                          <w:bCs/>
                          <w:sz w:val="28"/>
                          <w:szCs w:val="28"/>
                        </w:rPr>
                        <w:t>Petit mémento sur le Règlement Général sur la Protection des Données (RGPD) à l’usage des CPTS</w:t>
                      </w:r>
                    </w:p>
                  </w:txbxContent>
                </v:textbox>
                <w10:wrap type="square"/>
              </v:shape>
            </w:pict>
          </mc:Fallback>
        </mc:AlternateContent>
      </w:r>
      <w:r w:rsidRPr="00093F08">
        <w:rPr>
          <w:rFonts w:ascii="Times New Roman" w:hAnsi="Times New Roman"/>
          <w:noProof/>
          <w:sz w:val="24"/>
          <w:szCs w:val="24"/>
          <w:lang w:eastAsia="fr-FR"/>
        </w:rPr>
        <w:drawing>
          <wp:inline distT="0" distB="0" distL="0" distR="0" wp14:anchorId="0678BB88" wp14:editId="60BF0348">
            <wp:extent cx="1840865" cy="1682750"/>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0865" cy="1682750"/>
                    </a:xfrm>
                    <a:prstGeom prst="rect">
                      <a:avLst/>
                    </a:prstGeom>
                    <a:noFill/>
                  </pic:spPr>
                </pic:pic>
              </a:graphicData>
            </a:graphic>
          </wp:inline>
        </w:drawing>
      </w:r>
    </w:p>
    <w:p w14:paraId="0DC9D74B" w14:textId="77777777" w:rsidR="001B1784" w:rsidRDefault="001B1784" w:rsidP="006348CE">
      <w:pPr>
        <w:jc w:val="both"/>
        <w:rPr>
          <w:b/>
          <w:bCs/>
        </w:rPr>
      </w:pPr>
    </w:p>
    <w:p w14:paraId="13550581" w14:textId="77777777" w:rsidR="007E7D6E" w:rsidRDefault="008E4E2D" w:rsidP="006348CE">
      <w:pPr>
        <w:jc w:val="both"/>
      </w:pPr>
      <w:r w:rsidRPr="000D4EBD">
        <w:rPr>
          <w:b/>
          <w:bCs/>
        </w:rPr>
        <w:t>Le RGPD</w:t>
      </w:r>
      <w:r>
        <w:t xml:space="preserve"> encadre le traitement des données personnelles </w:t>
      </w:r>
      <w:r w:rsidR="00E27CC0">
        <w:t xml:space="preserve">et </w:t>
      </w:r>
      <w:r w:rsidR="007E7D6E" w:rsidRPr="000D4EBD">
        <w:rPr>
          <w:b/>
          <w:bCs/>
        </w:rPr>
        <w:t>s’applique à toute organisation</w:t>
      </w:r>
      <w:r w:rsidR="007E7D6E">
        <w:t xml:space="preserve">, publique et privée, </w:t>
      </w:r>
      <w:r w:rsidR="007E7D6E" w:rsidRPr="000D4EBD">
        <w:rPr>
          <w:b/>
          <w:bCs/>
        </w:rPr>
        <w:t>qui traite des données personnelles</w:t>
      </w:r>
      <w:r w:rsidR="000D4EBD">
        <w:t>,</w:t>
      </w:r>
      <w:r w:rsidR="007E7D6E">
        <w:t xml:space="preserve"> </w:t>
      </w:r>
      <w:r w:rsidR="00561F60">
        <w:t>quelle que soit sa taille.</w:t>
      </w:r>
    </w:p>
    <w:p w14:paraId="3FC0F49D" w14:textId="77777777" w:rsidR="007E7D6E" w:rsidRDefault="007E7D6E" w:rsidP="006348CE">
      <w:pPr>
        <w:jc w:val="both"/>
      </w:pPr>
      <w:r>
        <w:t>Une « donnée personnelle » est « toute information se rapportant à une personne physique identifiée ou identifiable ».</w:t>
      </w:r>
    </w:p>
    <w:p w14:paraId="68750133" w14:textId="77777777" w:rsidR="00A4234D" w:rsidRDefault="007E7D6E" w:rsidP="006348CE">
      <w:pPr>
        <w:jc w:val="both"/>
      </w:pPr>
      <w:r>
        <w:t xml:space="preserve">Un « traitement de données personnelles » est une opération, ou ensemble d’opérations, portant sur des données personnelles, quel que soit le procédé utilisé (collecte, enregistrement, organisation, conservation, adaptation, modification, extraction, consultation, utilisation, communication par </w:t>
      </w:r>
      <w:proofErr w:type="gramStart"/>
      <w:r>
        <w:t>transmission</w:t>
      </w:r>
      <w:proofErr w:type="gramEnd"/>
      <w:r>
        <w:t xml:space="preserve"> diffusion ou toute autre forme de mise à disposition, rapprochement).</w:t>
      </w:r>
    </w:p>
    <w:p w14:paraId="6BBBFD62" w14:textId="77777777" w:rsidR="007E7D6E" w:rsidRDefault="007E7D6E" w:rsidP="006348CE">
      <w:pPr>
        <w:jc w:val="both"/>
      </w:pPr>
    </w:p>
    <w:p w14:paraId="25F47C1C" w14:textId="77777777" w:rsidR="007E7D6E" w:rsidRPr="006348CE" w:rsidRDefault="007F184A" w:rsidP="006348CE">
      <w:pPr>
        <w:jc w:val="both"/>
        <w:rPr>
          <w:b/>
          <w:bCs/>
        </w:rPr>
      </w:pPr>
      <w:r>
        <w:rPr>
          <w:b/>
          <w:bCs/>
        </w:rPr>
        <w:t>Quatre</w:t>
      </w:r>
      <w:r w:rsidR="00884CE0" w:rsidRPr="006348CE">
        <w:rPr>
          <w:b/>
          <w:bCs/>
        </w:rPr>
        <w:t xml:space="preserve"> principales actions à réaliser pour </w:t>
      </w:r>
      <w:r w:rsidR="006348CE">
        <w:rPr>
          <w:b/>
          <w:bCs/>
        </w:rPr>
        <w:t>débuter</w:t>
      </w:r>
      <w:r w:rsidR="00884CE0" w:rsidRPr="006348CE">
        <w:rPr>
          <w:b/>
          <w:bCs/>
        </w:rPr>
        <w:t xml:space="preserve"> la mise en conformité</w:t>
      </w:r>
      <w:r w:rsidR="007E7D6E" w:rsidRPr="006348CE">
        <w:rPr>
          <w:b/>
          <w:bCs/>
        </w:rPr>
        <w:t xml:space="preserve"> : </w:t>
      </w:r>
    </w:p>
    <w:p w14:paraId="2F49FA0A" w14:textId="77777777" w:rsidR="007E7D6E" w:rsidRPr="007E7D6E" w:rsidRDefault="007E7D6E" w:rsidP="006348CE">
      <w:pPr>
        <w:pStyle w:val="Paragraphedeliste"/>
        <w:numPr>
          <w:ilvl w:val="0"/>
          <w:numId w:val="1"/>
        </w:numPr>
        <w:jc w:val="both"/>
        <w:rPr>
          <w:b/>
          <w:bCs/>
        </w:rPr>
      </w:pPr>
      <w:r w:rsidRPr="007E7D6E">
        <w:rPr>
          <w:b/>
          <w:bCs/>
        </w:rPr>
        <w:t>Identifiez</w:t>
      </w:r>
      <w:r w:rsidR="00A9667C">
        <w:rPr>
          <w:b/>
          <w:bCs/>
        </w:rPr>
        <w:t xml:space="preserve"> et listez</w:t>
      </w:r>
      <w:r w:rsidRPr="007E7D6E">
        <w:rPr>
          <w:b/>
          <w:bCs/>
        </w:rPr>
        <w:t xml:space="preserve"> les activités de votre </w:t>
      </w:r>
      <w:r w:rsidR="001E76D7">
        <w:rPr>
          <w:b/>
          <w:bCs/>
        </w:rPr>
        <w:t>CPTS</w:t>
      </w:r>
      <w:r w:rsidRPr="007E7D6E">
        <w:rPr>
          <w:b/>
          <w:bCs/>
        </w:rPr>
        <w:t xml:space="preserve"> qui nécessitent la collecte et le traitement de données </w:t>
      </w:r>
    </w:p>
    <w:p w14:paraId="440A307E" w14:textId="77777777" w:rsidR="007F184A" w:rsidRDefault="007E7D6E" w:rsidP="006348CE">
      <w:pPr>
        <w:pStyle w:val="Paragraphedeliste"/>
        <w:jc w:val="both"/>
      </w:pPr>
      <w:r w:rsidRPr="007E7D6E">
        <w:t xml:space="preserve">Pour cela, </w:t>
      </w:r>
      <w:r w:rsidR="00A9667C">
        <w:t xml:space="preserve">vous pouvez vous appuyer </w:t>
      </w:r>
      <w:r w:rsidRPr="007E7D6E">
        <w:t xml:space="preserve">sur </w:t>
      </w:r>
      <w:hyperlink r:id="rId8" w:history="1">
        <w:r w:rsidRPr="007E7D6E">
          <w:rPr>
            <w:rStyle w:val="Lienhypertexte"/>
          </w:rPr>
          <w:t>le modèle de registre</w:t>
        </w:r>
      </w:hyperlink>
      <w:r w:rsidRPr="007E7D6E">
        <w:t xml:space="preserve"> proposé par la CNIL</w:t>
      </w:r>
      <w:r w:rsidR="007F184A">
        <w:t>.</w:t>
      </w:r>
    </w:p>
    <w:p w14:paraId="55F329F7" w14:textId="77777777" w:rsidR="000D4EBD" w:rsidRPr="007E7D6E" w:rsidRDefault="007F184A" w:rsidP="006348CE">
      <w:pPr>
        <w:pStyle w:val="Paragraphedeliste"/>
        <w:jc w:val="both"/>
      </w:pPr>
      <w:r w:rsidRPr="007E7D6E">
        <w:t xml:space="preserve"> </w:t>
      </w:r>
    </w:p>
    <w:p w14:paraId="6C9DBA8D" w14:textId="77777777" w:rsidR="007E7D6E" w:rsidRPr="007F184A" w:rsidRDefault="007E7D6E" w:rsidP="006348CE">
      <w:pPr>
        <w:pStyle w:val="Paragraphedeliste"/>
        <w:numPr>
          <w:ilvl w:val="0"/>
          <w:numId w:val="1"/>
        </w:numPr>
        <w:jc w:val="both"/>
        <w:rPr>
          <w:b/>
          <w:bCs/>
        </w:rPr>
      </w:pPr>
      <w:r w:rsidRPr="007F184A">
        <w:rPr>
          <w:b/>
          <w:bCs/>
        </w:rPr>
        <w:t>Faites le tri dans les données</w:t>
      </w:r>
      <w:r w:rsidR="001E76D7">
        <w:rPr>
          <w:b/>
          <w:bCs/>
        </w:rPr>
        <w:t xml:space="preserve"> </w:t>
      </w:r>
    </w:p>
    <w:p w14:paraId="7A0A9A8C" w14:textId="77777777" w:rsidR="007E7D6E" w:rsidRDefault="007E7D6E" w:rsidP="007F184A">
      <w:pPr>
        <w:pStyle w:val="Paragraphedeliste"/>
        <w:jc w:val="both"/>
      </w:pPr>
      <w:r w:rsidRPr="007E7D6E">
        <w:t>La constitution du registre permet de</w:t>
      </w:r>
      <w:r w:rsidR="007F184A">
        <w:t xml:space="preserve"> s’</w:t>
      </w:r>
      <w:r w:rsidRPr="007E7D6E">
        <w:t xml:space="preserve">interroger sur les données dont votre </w:t>
      </w:r>
      <w:r w:rsidR="007F184A">
        <w:t>structure</w:t>
      </w:r>
      <w:r w:rsidRPr="007E7D6E">
        <w:t xml:space="preserve"> a réellement besoin</w:t>
      </w:r>
      <w:r>
        <w:t xml:space="preserve"> et de vérifier : </w:t>
      </w:r>
    </w:p>
    <w:p w14:paraId="03D7D949" w14:textId="77777777" w:rsidR="007E7D6E" w:rsidRDefault="007E7D6E" w:rsidP="006348CE">
      <w:pPr>
        <w:pStyle w:val="Paragraphedeliste"/>
        <w:numPr>
          <w:ilvl w:val="0"/>
          <w:numId w:val="2"/>
        </w:numPr>
        <w:jc w:val="both"/>
      </w:pPr>
      <w:r>
        <w:t xml:space="preserve">Que vous ne </w:t>
      </w:r>
      <w:proofErr w:type="gramStart"/>
      <w:r>
        <w:t>traitez</w:t>
      </w:r>
      <w:proofErr w:type="gramEnd"/>
      <w:r w:rsidR="005B0849">
        <w:t xml:space="preserve"> </w:t>
      </w:r>
      <w:r>
        <w:t>pas de données sensibles</w:t>
      </w:r>
      <w:r w:rsidR="00E27CC0">
        <w:t xml:space="preserve"> (ex : données de santé)</w:t>
      </w:r>
      <w:r>
        <w:t>, ou, si c’est le cas, que vous avez bien le droit de les traiter</w:t>
      </w:r>
      <w:r w:rsidR="007F184A">
        <w:t> ;</w:t>
      </w:r>
    </w:p>
    <w:p w14:paraId="0AB772B4" w14:textId="77777777" w:rsidR="007E7D6E" w:rsidRDefault="007E7D6E" w:rsidP="006348CE">
      <w:pPr>
        <w:pStyle w:val="Paragraphedeliste"/>
        <w:numPr>
          <w:ilvl w:val="0"/>
          <w:numId w:val="2"/>
        </w:numPr>
        <w:jc w:val="both"/>
      </w:pPr>
      <w:r>
        <w:t>Que seules les personnes habilitées ont accès aux données</w:t>
      </w:r>
      <w:r w:rsidR="007F184A">
        <w:t> ;</w:t>
      </w:r>
    </w:p>
    <w:p w14:paraId="3AB82B2C" w14:textId="77777777" w:rsidR="007E7D6E" w:rsidRDefault="007E7D6E" w:rsidP="006348CE">
      <w:pPr>
        <w:pStyle w:val="Paragraphedeliste"/>
        <w:numPr>
          <w:ilvl w:val="0"/>
          <w:numId w:val="2"/>
        </w:numPr>
        <w:jc w:val="both"/>
      </w:pPr>
      <w:r>
        <w:t>Que vous ne conservez pas les données au-delà de ce qui est nécessaire</w:t>
      </w:r>
      <w:r w:rsidR="007F184A">
        <w:t>.</w:t>
      </w:r>
    </w:p>
    <w:p w14:paraId="465D1146" w14:textId="77777777" w:rsidR="00884CE0" w:rsidRPr="007E7D6E" w:rsidRDefault="00884CE0" w:rsidP="006348CE">
      <w:pPr>
        <w:pStyle w:val="Paragraphedeliste"/>
        <w:ind w:left="2136"/>
        <w:jc w:val="both"/>
      </w:pPr>
    </w:p>
    <w:p w14:paraId="7B6C7F8C" w14:textId="77777777" w:rsidR="007E7D6E" w:rsidRPr="007F184A" w:rsidRDefault="007E7D6E" w:rsidP="006348CE">
      <w:pPr>
        <w:pStyle w:val="Paragraphedeliste"/>
        <w:numPr>
          <w:ilvl w:val="0"/>
          <w:numId w:val="1"/>
        </w:numPr>
        <w:jc w:val="both"/>
        <w:rPr>
          <w:b/>
          <w:bCs/>
        </w:rPr>
      </w:pPr>
      <w:r w:rsidRPr="007F184A">
        <w:rPr>
          <w:b/>
          <w:bCs/>
        </w:rPr>
        <w:t>Respecter le droit des personnes</w:t>
      </w:r>
      <w:r w:rsidR="00E27CC0" w:rsidRPr="007F184A">
        <w:rPr>
          <w:b/>
          <w:bCs/>
        </w:rPr>
        <w:t> : informez-les !</w:t>
      </w:r>
    </w:p>
    <w:p w14:paraId="0C6604E4" w14:textId="77777777" w:rsidR="00AB0EF5" w:rsidRDefault="00E27CC0" w:rsidP="006348CE">
      <w:pPr>
        <w:pStyle w:val="Paragraphedeliste"/>
        <w:jc w:val="both"/>
      </w:pPr>
      <w:r>
        <w:t xml:space="preserve">Le RGPD renforce l’obligation d’information et de transparence à l’égard des personnes dont vous traitez les données. L’information </w:t>
      </w:r>
      <w:r w:rsidR="007F184A">
        <w:t xml:space="preserve">des personnes </w:t>
      </w:r>
      <w:r>
        <w:t>doit comporter la finalité, le fondement juridique du traitement, la mention des personnes ayant accès aux données, la durée de conservation ainsi que les modalités selon lesquelles les personnes peuvent exercer leurs droits.</w:t>
      </w:r>
    </w:p>
    <w:p w14:paraId="40D64903" w14:textId="77777777" w:rsidR="00884CE0" w:rsidRPr="007E7D6E" w:rsidRDefault="00884CE0" w:rsidP="006348CE">
      <w:pPr>
        <w:pStyle w:val="Paragraphedeliste"/>
        <w:jc w:val="both"/>
      </w:pPr>
    </w:p>
    <w:p w14:paraId="77BBDC0B" w14:textId="77777777" w:rsidR="007E7D6E" w:rsidRDefault="007E7D6E" w:rsidP="006348CE">
      <w:pPr>
        <w:pStyle w:val="Paragraphedeliste"/>
        <w:numPr>
          <w:ilvl w:val="0"/>
          <w:numId w:val="1"/>
        </w:numPr>
        <w:jc w:val="both"/>
        <w:rPr>
          <w:b/>
          <w:bCs/>
        </w:rPr>
      </w:pPr>
      <w:r w:rsidRPr="00AB0EF5">
        <w:rPr>
          <w:b/>
          <w:bCs/>
        </w:rPr>
        <w:t xml:space="preserve">Sécurisez les données </w:t>
      </w:r>
    </w:p>
    <w:p w14:paraId="7CF577AC" w14:textId="77777777" w:rsidR="000D4EBD" w:rsidRDefault="000D4EBD" w:rsidP="006348CE">
      <w:pPr>
        <w:pStyle w:val="Paragraphedeliste"/>
        <w:jc w:val="both"/>
      </w:pPr>
      <w:r>
        <w:t>Vous devez prendre toutes les mesures nécessaires pour garantir au mieux la sécurité des données.</w:t>
      </w:r>
    </w:p>
    <w:p w14:paraId="6FFCEE0E" w14:textId="77777777" w:rsidR="00884CE0" w:rsidRDefault="00884CE0" w:rsidP="006348CE">
      <w:pPr>
        <w:jc w:val="both"/>
        <w:rPr>
          <w:b/>
          <w:bCs/>
        </w:rPr>
      </w:pPr>
    </w:p>
    <w:p w14:paraId="55457091" w14:textId="77777777" w:rsidR="00520F66" w:rsidRDefault="00520F66" w:rsidP="006348CE">
      <w:pPr>
        <w:jc w:val="both"/>
        <w:rPr>
          <w:b/>
          <w:bCs/>
        </w:rPr>
      </w:pPr>
    </w:p>
    <w:p w14:paraId="63FC50A7" w14:textId="77777777" w:rsidR="000D4EBD" w:rsidRDefault="00884CE0" w:rsidP="006348CE">
      <w:pPr>
        <w:jc w:val="both"/>
        <w:rPr>
          <w:b/>
          <w:bCs/>
        </w:rPr>
      </w:pPr>
      <w:r>
        <w:rPr>
          <w:b/>
          <w:bCs/>
        </w:rPr>
        <w:t xml:space="preserve">Dans certains cas, </w:t>
      </w:r>
      <w:r>
        <w:t xml:space="preserve">vous pourrez être conduits à désigner un délégué à la protection des données. Vous trouverez toute l’information sur les cas de désignation obligatoire ainsi que sur les compétences du délégué à la protection des données sur le site Internet de la CNIL : </w:t>
      </w:r>
      <w:hyperlink r:id="rId9" w:history="1">
        <w:r>
          <w:rPr>
            <w:rStyle w:val="Lienhypertexte"/>
          </w:rPr>
          <w:t>https://www.cnil.fr/fr/le-delegue-la-protection-des-donnees-dpo</w:t>
        </w:r>
      </w:hyperlink>
    </w:p>
    <w:p w14:paraId="61AEF8AC" w14:textId="77777777" w:rsidR="001B1784" w:rsidRDefault="001B1784" w:rsidP="001B1784">
      <w:pPr>
        <w:jc w:val="both"/>
      </w:pPr>
    </w:p>
    <w:p w14:paraId="1086CECE" w14:textId="77777777" w:rsidR="001B1784" w:rsidRPr="00520F66" w:rsidRDefault="001B1784" w:rsidP="001B1784">
      <w:pPr>
        <w:pBdr>
          <w:top w:val="single" w:sz="4" w:space="1" w:color="auto"/>
          <w:left w:val="single" w:sz="4" w:space="4" w:color="auto"/>
          <w:bottom w:val="single" w:sz="4" w:space="1" w:color="auto"/>
          <w:right w:val="single" w:sz="4" w:space="4" w:color="auto"/>
        </w:pBdr>
        <w:jc w:val="both"/>
        <w:rPr>
          <w:b/>
          <w:bCs/>
          <w:color w:val="70AD47" w:themeColor="accent6"/>
          <w:sz w:val="28"/>
          <w:szCs w:val="28"/>
        </w:rPr>
      </w:pPr>
      <w:r w:rsidRPr="00520F66">
        <w:rPr>
          <w:b/>
          <w:bCs/>
          <w:color w:val="70AD47" w:themeColor="accent6"/>
          <w:sz w:val="28"/>
          <w:szCs w:val="28"/>
        </w:rPr>
        <w:t>Pour aller plus loin</w:t>
      </w:r>
    </w:p>
    <w:p w14:paraId="1EB87307" w14:textId="77777777" w:rsidR="001B1784" w:rsidRPr="001B1784" w:rsidRDefault="001B1784" w:rsidP="001B1784">
      <w:pPr>
        <w:pBdr>
          <w:top w:val="single" w:sz="4" w:space="1" w:color="auto"/>
          <w:left w:val="single" w:sz="4" w:space="4" w:color="auto"/>
          <w:bottom w:val="single" w:sz="4" w:space="1" w:color="auto"/>
          <w:right w:val="single" w:sz="4" w:space="4" w:color="auto"/>
        </w:pBdr>
        <w:jc w:val="both"/>
        <w:rPr>
          <w:b/>
          <w:bCs/>
          <w:sz w:val="28"/>
          <w:szCs w:val="28"/>
        </w:rPr>
      </w:pPr>
    </w:p>
    <w:p w14:paraId="2521A43E" w14:textId="77777777" w:rsidR="000D4EBD" w:rsidRDefault="000D4EBD" w:rsidP="001B1784">
      <w:pPr>
        <w:pBdr>
          <w:top w:val="single" w:sz="4" w:space="1" w:color="auto"/>
          <w:left w:val="single" w:sz="4" w:space="4" w:color="auto"/>
          <w:bottom w:val="single" w:sz="4" w:space="1" w:color="auto"/>
          <w:right w:val="single" w:sz="4" w:space="4" w:color="auto"/>
        </w:pBdr>
        <w:jc w:val="both"/>
        <w:rPr>
          <w:b/>
          <w:bCs/>
        </w:rPr>
      </w:pPr>
      <w:r w:rsidRPr="00884CE0">
        <w:t xml:space="preserve">Le site Internet de la CNIL </w:t>
      </w:r>
      <w:r w:rsidR="00F577A2" w:rsidRPr="00884CE0">
        <w:t>recense</w:t>
      </w:r>
      <w:r w:rsidRPr="00884CE0">
        <w:t xml:space="preserve"> </w:t>
      </w:r>
      <w:hyperlink r:id="rId10" w:history="1">
        <w:r w:rsidR="006348CE" w:rsidRPr="007F184A">
          <w:rPr>
            <w:rStyle w:val="Lienhypertexte"/>
          </w:rPr>
          <w:t xml:space="preserve">toutes les informations et </w:t>
        </w:r>
        <w:r w:rsidR="00F577A2" w:rsidRPr="007F184A">
          <w:rPr>
            <w:rStyle w:val="Lienhypertexte"/>
          </w:rPr>
          <w:t>les actions à réaliser</w:t>
        </w:r>
      </w:hyperlink>
      <w:r w:rsidR="00F577A2">
        <w:rPr>
          <w:b/>
          <w:bCs/>
        </w:rPr>
        <w:t xml:space="preserve"> </w:t>
      </w:r>
      <w:r w:rsidR="00F577A2" w:rsidRPr="00884CE0">
        <w:t>pour se mettre en conformité.</w:t>
      </w:r>
    </w:p>
    <w:p w14:paraId="16A6AA0E" w14:textId="77777777" w:rsidR="006348CE" w:rsidRDefault="006348CE" w:rsidP="001B1784">
      <w:pPr>
        <w:pBdr>
          <w:top w:val="single" w:sz="4" w:space="1" w:color="auto"/>
          <w:left w:val="single" w:sz="4" w:space="4" w:color="auto"/>
          <w:bottom w:val="single" w:sz="4" w:space="1" w:color="auto"/>
          <w:right w:val="single" w:sz="4" w:space="4" w:color="auto"/>
        </w:pBdr>
        <w:jc w:val="both"/>
        <w:rPr>
          <w:b/>
          <w:bCs/>
        </w:rPr>
      </w:pPr>
      <w:r>
        <w:t xml:space="preserve">La CNIL a également mis en place </w:t>
      </w:r>
      <w:r w:rsidRPr="00884CE0">
        <w:rPr>
          <w:b/>
          <w:bCs/>
        </w:rPr>
        <w:t>un MOOC pour s’initier au RGPD et débuter la mise en conformité</w:t>
      </w:r>
      <w:r>
        <w:t xml:space="preserve"> de votre CPTS : </w:t>
      </w:r>
      <w:hyperlink r:id="rId11" w:history="1">
        <w:r>
          <w:rPr>
            <w:rStyle w:val="Lienhypertexte"/>
          </w:rPr>
          <w:t>https://atelier-rgpd.cnil.fr/</w:t>
        </w:r>
      </w:hyperlink>
    </w:p>
    <w:p w14:paraId="12D69229" w14:textId="77777777" w:rsidR="00F577A2" w:rsidRDefault="00F577A2" w:rsidP="001B1784">
      <w:pPr>
        <w:pBdr>
          <w:top w:val="single" w:sz="4" w:space="1" w:color="auto"/>
          <w:left w:val="single" w:sz="4" w:space="4" w:color="auto"/>
          <w:bottom w:val="single" w:sz="4" w:space="1" w:color="auto"/>
          <w:right w:val="single" w:sz="4" w:space="4" w:color="auto"/>
        </w:pBdr>
        <w:jc w:val="both"/>
      </w:pPr>
      <w:r w:rsidRPr="00884CE0">
        <w:t>Vous pou</w:t>
      </w:r>
      <w:r w:rsidR="006348CE">
        <w:t>vez</w:t>
      </w:r>
      <w:r w:rsidRPr="00884CE0">
        <w:t xml:space="preserve"> également accéder au</w:t>
      </w:r>
      <w:r>
        <w:rPr>
          <w:b/>
          <w:bCs/>
        </w:rPr>
        <w:t xml:space="preserve"> </w:t>
      </w:r>
      <w:hyperlink r:id="rId12" w:tgtFrame="_blank" w:tooltip="bpi-cnil-guide-rgpd-tpe-pme.pdf" w:history="1">
        <w:r>
          <w:rPr>
            <w:rStyle w:val="Lienhypertexte"/>
          </w:rPr>
          <w:t>guide de sensibilisation au RGPD pour les petites et moyennes entreprises</w:t>
        </w:r>
      </w:hyperlink>
      <w:r w:rsidR="006348CE">
        <w:t xml:space="preserve"> créé conjointement par la CNIL et BPI France.</w:t>
      </w:r>
    </w:p>
    <w:p w14:paraId="4CB1F5C7" w14:textId="77777777" w:rsidR="00F577A2" w:rsidRDefault="000A7BF4" w:rsidP="001B1784">
      <w:pPr>
        <w:pBdr>
          <w:top w:val="single" w:sz="4" w:space="1" w:color="auto"/>
          <w:left w:val="single" w:sz="4" w:space="4" w:color="auto"/>
          <w:bottom w:val="single" w:sz="4" w:space="1" w:color="auto"/>
          <w:right w:val="single" w:sz="4" w:space="4" w:color="auto"/>
        </w:pBdr>
        <w:jc w:val="both"/>
      </w:pPr>
      <w:r w:rsidRPr="00884CE0">
        <w:t>Concernant la sécurité des données, le site gouvernemental</w:t>
      </w:r>
      <w:r>
        <w:rPr>
          <w:b/>
          <w:bCs/>
        </w:rPr>
        <w:t xml:space="preserve"> </w:t>
      </w:r>
      <w:hyperlink r:id="rId13" w:history="1">
        <w:r>
          <w:rPr>
            <w:rStyle w:val="Lienhypertexte"/>
          </w:rPr>
          <w:t>https://www.cybermalveillance.gouv.fr/</w:t>
        </w:r>
      </w:hyperlink>
      <w:r>
        <w:t xml:space="preserve"> </w:t>
      </w:r>
      <w:r w:rsidR="00884CE0">
        <w:t>vous propose de l’aide</w:t>
      </w:r>
      <w:r w:rsidR="00CF73B8">
        <w:t xml:space="preserve"> en ligne.</w:t>
      </w:r>
    </w:p>
    <w:p w14:paraId="622EA6B0" w14:textId="77777777" w:rsidR="001B1784" w:rsidRDefault="001B1784" w:rsidP="001B1784">
      <w:pPr>
        <w:pBdr>
          <w:top w:val="single" w:sz="4" w:space="1" w:color="auto"/>
          <w:left w:val="single" w:sz="4" w:space="4" w:color="auto"/>
          <w:bottom w:val="single" w:sz="4" w:space="1" w:color="auto"/>
          <w:right w:val="single" w:sz="4" w:space="4" w:color="auto"/>
        </w:pBdr>
        <w:jc w:val="both"/>
        <w:rPr>
          <w:b/>
          <w:bCs/>
        </w:rPr>
      </w:pPr>
    </w:p>
    <w:p w14:paraId="32BD8E26" w14:textId="77777777" w:rsidR="00F577A2" w:rsidRDefault="00F577A2" w:rsidP="006348CE">
      <w:pPr>
        <w:jc w:val="both"/>
        <w:rPr>
          <w:b/>
          <w:bCs/>
        </w:rPr>
      </w:pPr>
    </w:p>
    <w:p w14:paraId="2D0303F9" w14:textId="77777777" w:rsidR="000D4EBD" w:rsidRPr="000D4EBD" w:rsidRDefault="000D4EBD" w:rsidP="000D4EBD">
      <w:pPr>
        <w:rPr>
          <w:b/>
          <w:bCs/>
        </w:rPr>
      </w:pPr>
    </w:p>
    <w:sectPr w:rsidR="000D4EBD" w:rsidRPr="000D4EB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66DFA" w14:textId="77777777" w:rsidR="0045368F" w:rsidRDefault="0045368F" w:rsidP="00520F66">
      <w:pPr>
        <w:spacing w:after="0" w:line="240" w:lineRule="auto"/>
      </w:pPr>
      <w:r>
        <w:separator/>
      </w:r>
    </w:p>
  </w:endnote>
  <w:endnote w:type="continuationSeparator" w:id="0">
    <w:p w14:paraId="0650D5A4" w14:textId="77777777" w:rsidR="0045368F" w:rsidRDefault="0045368F" w:rsidP="0052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F701E" w14:textId="77777777" w:rsidR="00520F66" w:rsidRPr="0064038B" w:rsidRDefault="00520F66" w:rsidP="00520F66">
    <w:pPr>
      <w:pStyle w:val="Pieddepage"/>
      <w:tabs>
        <w:tab w:val="clear" w:pos="9072"/>
      </w:tabs>
      <w:ind w:left="-993" w:right="-853"/>
      <w:jc w:val="center"/>
      <w:rPr>
        <w:rFonts w:ascii="Calibri" w:hAnsi="Calibri"/>
        <w:b/>
        <w:color w:val="808080"/>
        <w:sz w:val="12"/>
        <w:szCs w:val="12"/>
      </w:rPr>
    </w:pPr>
    <w:r w:rsidRPr="0064038B">
      <w:rPr>
        <w:rFonts w:ascii="Calibri" w:hAnsi="Calibri"/>
        <w:b/>
        <w:color w:val="808080"/>
        <w:sz w:val="12"/>
        <w:szCs w:val="12"/>
      </w:rPr>
      <w:t xml:space="preserve">Siège social de l’URPS Médecins </w:t>
    </w:r>
    <w:proofErr w:type="spellStart"/>
    <w:r w:rsidRPr="0064038B">
      <w:rPr>
        <w:rFonts w:ascii="Calibri" w:hAnsi="Calibri"/>
        <w:b/>
        <w:color w:val="808080"/>
        <w:sz w:val="12"/>
        <w:szCs w:val="12"/>
      </w:rPr>
      <w:t>AuRA</w:t>
    </w:r>
    <w:proofErr w:type="spellEnd"/>
    <w:r w:rsidRPr="0064038B">
      <w:rPr>
        <w:rFonts w:ascii="Calibri" w:hAnsi="Calibri"/>
        <w:b/>
        <w:color w:val="808080"/>
        <w:sz w:val="12"/>
        <w:szCs w:val="12"/>
      </w:rPr>
      <w:t xml:space="preserve"> : 20 Rue </w:t>
    </w:r>
    <w:proofErr w:type="spellStart"/>
    <w:r w:rsidRPr="0064038B">
      <w:rPr>
        <w:rFonts w:ascii="Calibri" w:hAnsi="Calibri"/>
        <w:b/>
        <w:color w:val="808080"/>
        <w:sz w:val="12"/>
        <w:szCs w:val="12"/>
      </w:rPr>
      <w:t>Barrier</w:t>
    </w:r>
    <w:proofErr w:type="spellEnd"/>
    <w:r w:rsidRPr="0064038B">
      <w:rPr>
        <w:rFonts w:ascii="Calibri" w:hAnsi="Calibri"/>
        <w:b/>
        <w:color w:val="808080"/>
        <w:sz w:val="12"/>
        <w:szCs w:val="12"/>
      </w:rPr>
      <w:t xml:space="preserve"> – 69006 LYON – Tél : 04 72 74 02 75 – Fax : 04 72 74 00 23 – Mail : urps@urps-med-aura.fr</w:t>
    </w:r>
  </w:p>
  <w:p w14:paraId="018CF0B1" w14:textId="77777777" w:rsidR="00520F66" w:rsidRPr="0064038B" w:rsidRDefault="00520F66" w:rsidP="00520F66">
    <w:pPr>
      <w:pStyle w:val="Pieddepage"/>
      <w:tabs>
        <w:tab w:val="clear" w:pos="9072"/>
        <w:tab w:val="right" w:pos="10206"/>
      </w:tabs>
      <w:ind w:left="-993"/>
      <w:jc w:val="center"/>
      <w:rPr>
        <w:rFonts w:ascii="Calibri" w:hAnsi="Calibri"/>
        <w:b/>
        <w:color w:val="808080"/>
        <w:sz w:val="12"/>
        <w:szCs w:val="12"/>
      </w:rPr>
    </w:pPr>
    <w:r w:rsidRPr="0064038B">
      <w:rPr>
        <w:rFonts w:ascii="Calibri" w:hAnsi="Calibri"/>
        <w:b/>
        <w:color w:val="808080"/>
        <w:sz w:val="12"/>
        <w:szCs w:val="12"/>
      </w:rPr>
      <w:t xml:space="preserve">Site d’Auvergne : 24 Allée </w:t>
    </w:r>
    <w:r>
      <w:rPr>
        <w:rFonts w:ascii="Calibri" w:hAnsi="Calibri"/>
        <w:b/>
        <w:color w:val="808080"/>
        <w:sz w:val="12"/>
        <w:szCs w:val="12"/>
      </w:rPr>
      <w:t>Evariste Galois – 63170 AUBIERE</w:t>
    </w:r>
    <w:r w:rsidRPr="0064038B">
      <w:rPr>
        <w:rFonts w:ascii="Calibri" w:hAnsi="Calibri"/>
        <w:b/>
        <w:color w:val="808080"/>
        <w:sz w:val="12"/>
        <w:szCs w:val="12"/>
      </w:rPr>
      <w:t xml:space="preserve"> – Tél. : 04 73 27 77 44</w:t>
    </w:r>
  </w:p>
  <w:p w14:paraId="16FA55D9" w14:textId="77777777" w:rsidR="00520F66" w:rsidRDefault="00520F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DC7D0" w14:textId="77777777" w:rsidR="0045368F" w:rsidRDefault="0045368F" w:rsidP="00520F66">
      <w:pPr>
        <w:spacing w:after="0" w:line="240" w:lineRule="auto"/>
      </w:pPr>
      <w:r>
        <w:separator/>
      </w:r>
    </w:p>
  </w:footnote>
  <w:footnote w:type="continuationSeparator" w:id="0">
    <w:p w14:paraId="25D45D65" w14:textId="77777777" w:rsidR="0045368F" w:rsidRDefault="0045368F" w:rsidP="0052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14DF4"/>
    <w:multiLevelType w:val="hybridMultilevel"/>
    <w:tmpl w:val="7DF45C3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 w15:restartNumberingAfterBreak="0">
    <w:nsid w:val="703328B7"/>
    <w:multiLevelType w:val="hybridMultilevel"/>
    <w:tmpl w:val="182A5336"/>
    <w:lvl w:ilvl="0" w:tplc="2ED64B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4D"/>
    <w:rsid w:val="000A7BF4"/>
    <w:rsid w:val="000D4EBD"/>
    <w:rsid w:val="001B1784"/>
    <w:rsid w:val="001E76D7"/>
    <w:rsid w:val="002A2AAE"/>
    <w:rsid w:val="003F5648"/>
    <w:rsid w:val="004155E9"/>
    <w:rsid w:val="0045368F"/>
    <w:rsid w:val="00520F66"/>
    <w:rsid w:val="00561F60"/>
    <w:rsid w:val="005B0849"/>
    <w:rsid w:val="006348CE"/>
    <w:rsid w:val="006D172C"/>
    <w:rsid w:val="0070411F"/>
    <w:rsid w:val="007E444B"/>
    <w:rsid w:val="007E7D6E"/>
    <w:rsid w:val="007F184A"/>
    <w:rsid w:val="00884CE0"/>
    <w:rsid w:val="008E40C8"/>
    <w:rsid w:val="008E4E2D"/>
    <w:rsid w:val="009756D0"/>
    <w:rsid w:val="009C3176"/>
    <w:rsid w:val="009D049D"/>
    <w:rsid w:val="00A4234D"/>
    <w:rsid w:val="00A45E8B"/>
    <w:rsid w:val="00A9667C"/>
    <w:rsid w:val="00AB0EF5"/>
    <w:rsid w:val="00B54DD6"/>
    <w:rsid w:val="00C25294"/>
    <w:rsid w:val="00C2606B"/>
    <w:rsid w:val="00CF73B8"/>
    <w:rsid w:val="00D030BD"/>
    <w:rsid w:val="00D2286B"/>
    <w:rsid w:val="00DF0837"/>
    <w:rsid w:val="00E27CC0"/>
    <w:rsid w:val="00F4311A"/>
    <w:rsid w:val="00F577A2"/>
    <w:rsid w:val="00F6644C"/>
    <w:rsid w:val="00F85BA2"/>
    <w:rsid w:val="00FE43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F54B8"/>
  <w15:chartTrackingRefBased/>
  <w15:docId w15:val="{DBDE1291-BEF5-4F2E-BE0E-A9E5C95D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7D6E"/>
    <w:pPr>
      <w:ind w:left="720"/>
      <w:contextualSpacing/>
    </w:pPr>
  </w:style>
  <w:style w:type="character" w:styleId="Lienhypertexte">
    <w:name w:val="Hyperlink"/>
    <w:basedOn w:val="Policepardfaut"/>
    <w:uiPriority w:val="99"/>
    <w:unhideWhenUsed/>
    <w:rsid w:val="007E7D6E"/>
    <w:rPr>
      <w:color w:val="0563C1" w:themeColor="hyperlink"/>
      <w:u w:val="single"/>
    </w:rPr>
  </w:style>
  <w:style w:type="character" w:styleId="Mentionnonrsolue">
    <w:name w:val="Unresolved Mention"/>
    <w:basedOn w:val="Policepardfaut"/>
    <w:uiPriority w:val="99"/>
    <w:semiHidden/>
    <w:unhideWhenUsed/>
    <w:rsid w:val="007E7D6E"/>
    <w:rPr>
      <w:color w:val="605E5C"/>
      <w:shd w:val="clear" w:color="auto" w:fill="E1DFDD"/>
    </w:rPr>
  </w:style>
  <w:style w:type="character" w:styleId="Lienhypertextesuivivisit">
    <w:name w:val="FollowedHyperlink"/>
    <w:basedOn w:val="Policepardfaut"/>
    <w:uiPriority w:val="99"/>
    <w:semiHidden/>
    <w:unhideWhenUsed/>
    <w:rsid w:val="00E27CC0"/>
    <w:rPr>
      <w:color w:val="954F72" w:themeColor="followedHyperlink"/>
      <w:u w:val="single"/>
    </w:rPr>
  </w:style>
  <w:style w:type="paragraph" w:styleId="En-tte">
    <w:name w:val="header"/>
    <w:basedOn w:val="Normal"/>
    <w:link w:val="En-tteCar"/>
    <w:uiPriority w:val="99"/>
    <w:unhideWhenUsed/>
    <w:rsid w:val="00520F66"/>
    <w:pPr>
      <w:tabs>
        <w:tab w:val="center" w:pos="4536"/>
        <w:tab w:val="right" w:pos="9072"/>
      </w:tabs>
      <w:spacing w:after="0" w:line="240" w:lineRule="auto"/>
    </w:pPr>
  </w:style>
  <w:style w:type="character" w:customStyle="1" w:styleId="En-tteCar">
    <w:name w:val="En-tête Car"/>
    <w:basedOn w:val="Policepardfaut"/>
    <w:link w:val="En-tte"/>
    <w:uiPriority w:val="99"/>
    <w:rsid w:val="00520F66"/>
  </w:style>
  <w:style w:type="paragraph" w:styleId="Pieddepage">
    <w:name w:val="footer"/>
    <w:basedOn w:val="Normal"/>
    <w:link w:val="PieddepageCar"/>
    <w:uiPriority w:val="99"/>
    <w:unhideWhenUsed/>
    <w:rsid w:val="00520F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0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l.fr/fr/RGDP-le-registre-des-activites-de-traitement" TargetMode="External"/><Relationship Id="rId13" Type="http://schemas.openxmlformats.org/officeDocument/2006/relationships/hyperlink" Target="https://www.cybermalveillance.gouv.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nil.fr/sites/default/files/atoms/files/bpi-cnil-rgpd_guide-tpe-pm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telier-rgpd.cnil.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nil.fr/fr/rgpd-par-ou-commencer" TargetMode="External"/><Relationship Id="rId4" Type="http://schemas.openxmlformats.org/officeDocument/2006/relationships/webSettings" Target="webSettings.xml"/><Relationship Id="rId9" Type="http://schemas.openxmlformats.org/officeDocument/2006/relationships/hyperlink" Target="https://www.cnil.fr/fr/le-delegue-la-protection-des-donnees-dpo"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2793</Characters>
  <Application>Microsoft Office Word</Application>
  <DocSecurity>4</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dc:creator>
  <cp:keywords/>
  <dc:description/>
  <cp:lastModifiedBy>Catherine Bernard</cp:lastModifiedBy>
  <cp:revision>2</cp:revision>
  <dcterms:created xsi:type="dcterms:W3CDTF">2020-06-30T07:57:00Z</dcterms:created>
  <dcterms:modified xsi:type="dcterms:W3CDTF">2020-06-30T07:57:00Z</dcterms:modified>
</cp:coreProperties>
</file>